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B5" w:rsidRPr="00DE0EB5" w:rsidRDefault="00DE0EB5" w:rsidP="00DE0EB5">
      <w:pPr>
        <w:pStyle w:val="Prrafodelista"/>
        <w:numPr>
          <w:ilvl w:val="0"/>
          <w:numId w:val="1"/>
        </w:num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E0EB5">
        <w:rPr>
          <w:rFonts w:cstheme="minorHAnsi"/>
          <w:b/>
          <w:color w:val="333333"/>
          <w:sz w:val="24"/>
          <w:szCs w:val="24"/>
          <w:shd w:val="clear" w:color="auto" w:fill="FFFFFF"/>
        </w:rPr>
        <w:t>Lee el texto de San Juan que habla de la Pascua de Jesús y responde las tres preguntas en los recuadros.</w:t>
      </w:r>
    </w:p>
    <w:tbl>
      <w:tblPr>
        <w:tblStyle w:val="Tablaconcuadrcula"/>
        <w:tblpPr w:leftFromText="141" w:rightFromText="141" w:vertAnchor="page" w:horzAnchor="page" w:tblpX="7480" w:tblpY="3293"/>
        <w:tblW w:w="0" w:type="auto"/>
        <w:tblLook w:val="04A0" w:firstRow="1" w:lastRow="0" w:firstColumn="1" w:lastColumn="0" w:noHBand="0" w:noVBand="1"/>
      </w:tblPr>
      <w:tblGrid>
        <w:gridCol w:w="3693"/>
      </w:tblGrid>
      <w:tr w:rsidR="00DE0EB5" w:rsidTr="00FD675E">
        <w:tc>
          <w:tcPr>
            <w:tcW w:w="3693" w:type="dxa"/>
          </w:tcPr>
          <w:p w:rsidR="00DE0EB5" w:rsidRPr="00C41778" w:rsidRDefault="00DE0EB5" w:rsidP="00FD675E">
            <w:pPr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¿Cuál fue la primera reacción </w:t>
            </w:r>
            <w:r w:rsidR="009D7786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de los personajes </w:t>
            </w:r>
            <w:r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>ante el hecho?</w:t>
            </w: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0EB5" w:rsidTr="00FD675E">
        <w:tc>
          <w:tcPr>
            <w:tcW w:w="3693" w:type="dxa"/>
          </w:tcPr>
          <w:p w:rsidR="00DE0EB5" w:rsidRPr="00C41778" w:rsidRDefault="00DE0EB5" w:rsidP="00FD675E">
            <w:pPr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41778"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  <w:t>¿</w:t>
            </w:r>
            <w:r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Qué diferencias se da entre los </w:t>
            </w:r>
            <w:r w:rsidR="00FD675E"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discípulos </w:t>
            </w:r>
            <w:r w:rsidR="009D7786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>cuando van al sepulcro</w:t>
            </w:r>
            <w:r w:rsidR="00FD675E"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0EB5" w:rsidTr="00FD675E">
        <w:tc>
          <w:tcPr>
            <w:tcW w:w="3693" w:type="dxa"/>
          </w:tcPr>
          <w:p w:rsidR="00DE0EB5" w:rsidRPr="00C41778" w:rsidRDefault="00FD675E" w:rsidP="00FD675E">
            <w:pPr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¿Qué significado debe tener para nosotros hoy este </w:t>
            </w:r>
            <w:r w:rsidR="009D7786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>acontecimient</w:t>
            </w:r>
            <w:r w:rsidRPr="00C41778">
              <w:rPr>
                <w:rFonts w:cstheme="minorHAnsi"/>
                <w:b/>
                <w:i/>
                <w:color w:val="333333"/>
                <w:sz w:val="20"/>
                <w:szCs w:val="20"/>
                <w:shd w:val="clear" w:color="auto" w:fill="FFFFFF"/>
              </w:rPr>
              <w:t>o</w:t>
            </w:r>
            <w:r w:rsidRPr="00C41778"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E0EB5" w:rsidRDefault="00DE0EB5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FD675E" w:rsidRDefault="00FD675E" w:rsidP="00FD675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D675E" w:rsidRDefault="00552CCF" w:rsidP="00DE0EB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color w:val="333333"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71755</wp:posOffset>
            </wp:positionV>
            <wp:extent cx="733425" cy="914400"/>
            <wp:effectExtent l="19050" t="0" r="9525" b="0"/>
            <wp:wrapTight wrapText="bothSides">
              <wp:wrapPolygon edited="0">
                <wp:start x="-561" y="0"/>
                <wp:lineTo x="-561" y="21150"/>
                <wp:lineTo x="21881" y="21150"/>
                <wp:lineTo x="21881" y="0"/>
                <wp:lineTo x="-561" y="0"/>
              </wp:wrapPolygon>
            </wp:wrapTight>
            <wp:docPr id="4" name="Imagen 4" descr="38 tendencias de El Vía Lucis para explorar | Religión, Camin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 tendencias de El Vía Lucis para explorar | Religión, Camino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EB5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="00DE0EB5" w:rsidRPr="00DE0EB5">
        <w:rPr>
          <w:rFonts w:cstheme="minorHAnsi"/>
          <w:color w:val="333333"/>
          <w:sz w:val="24"/>
          <w:szCs w:val="24"/>
          <w:shd w:val="clear" w:color="auto" w:fill="FFFFFF"/>
        </w:rPr>
        <w:t xml:space="preserve">El primer día después del sábado, María Magdalena fue al sepulcro muy temprano, cuando todavía estaba oscuro, y vio que la piedra que cerraba la entrada del sepulcro había sido removida. Fue corriendo en busca de Simón Pedro y del otro discípulo a quien Jesús amaba y les dijo: «Se han llevado del sepulcro al Señor y no sabemos dónde lo han puesto.» Pedro y el otro discípulo salieron para el sepulcro. Corrían los dos juntos, pero el otro discípulo corrió más que Pedro y llegó primero al sepulcro. Como se inclinara, vio los lienzos tumbados, pero no entró. Pedro llegó detrás, entró en el sepulcro y vio también los lienzos tumbados. El sudario con que le habían cubierto </w:t>
      </w:r>
      <w:proofErr w:type="gramStart"/>
      <w:r w:rsidR="00DE0EB5" w:rsidRPr="00DE0EB5">
        <w:rPr>
          <w:rFonts w:cstheme="minorHAnsi"/>
          <w:color w:val="333333"/>
          <w:sz w:val="24"/>
          <w:szCs w:val="24"/>
          <w:shd w:val="clear" w:color="auto" w:fill="FFFFFF"/>
        </w:rPr>
        <w:t>la</w:t>
      </w:r>
      <w:proofErr w:type="gramEnd"/>
      <w:r w:rsidR="00DE0EB5" w:rsidRPr="00DE0EB5">
        <w:rPr>
          <w:rFonts w:cstheme="minorHAnsi"/>
          <w:color w:val="333333"/>
          <w:sz w:val="24"/>
          <w:szCs w:val="24"/>
          <w:shd w:val="clear" w:color="auto" w:fill="FFFFFF"/>
        </w:rPr>
        <w:t xml:space="preserve"> cabeza no se había caído como los lienzos, sino que se ma</w:t>
      </w:r>
      <w:r w:rsidR="00FD675E">
        <w:rPr>
          <w:rFonts w:cstheme="minorHAnsi"/>
          <w:color w:val="333333"/>
          <w:sz w:val="24"/>
          <w:szCs w:val="24"/>
          <w:shd w:val="clear" w:color="auto" w:fill="FFFFFF"/>
        </w:rPr>
        <w:t xml:space="preserve">ntenía enrollado en su lugar. </w:t>
      </w:r>
      <w:r w:rsidR="00DE0EB5" w:rsidRPr="00DE0EB5">
        <w:rPr>
          <w:rFonts w:cstheme="minorHAnsi"/>
          <w:color w:val="333333"/>
          <w:sz w:val="24"/>
          <w:szCs w:val="24"/>
          <w:shd w:val="clear" w:color="auto" w:fill="FFFFFF"/>
        </w:rPr>
        <w:t>Entonces entró también el otro discípulo, el que había llegado primero, vio y creyó."</w:t>
      </w:r>
    </w:p>
    <w:p w:rsidR="00FD675E" w:rsidRDefault="00FD675E" w:rsidP="00FD675E">
      <w:pPr>
        <w:rPr>
          <w:rFonts w:cstheme="minorHAnsi"/>
          <w:sz w:val="24"/>
          <w:szCs w:val="24"/>
        </w:rPr>
      </w:pPr>
    </w:p>
    <w:p w:rsidR="004A7207" w:rsidRPr="00552CCF" w:rsidRDefault="009D7786" w:rsidP="00552CC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735965</wp:posOffset>
            </wp:positionV>
            <wp:extent cx="2673985" cy="1235710"/>
            <wp:effectExtent l="19050" t="0" r="0" b="0"/>
            <wp:wrapTight wrapText="bothSides">
              <wp:wrapPolygon edited="0">
                <wp:start x="-154" y="0"/>
                <wp:lineTo x="-154" y="21311"/>
                <wp:lineTo x="21544" y="21311"/>
                <wp:lineTo x="21544" y="0"/>
                <wp:lineTo x="-154" y="0"/>
              </wp:wrapPolygon>
            </wp:wrapTight>
            <wp:docPr id="13" name="Imagen 7" descr="Crucigramas para aprender los Sacramentos | Catequesis, Te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cigramas para aprender los Sacramentos | Catequesis, Tema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9614" r="57551" b="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3434715</wp:posOffset>
            </wp:positionV>
            <wp:extent cx="3067685" cy="1057910"/>
            <wp:effectExtent l="19050" t="0" r="0" b="0"/>
            <wp:wrapTight wrapText="bothSides">
              <wp:wrapPolygon edited="0">
                <wp:start x="-134" y="0"/>
                <wp:lineTo x="-134" y="21393"/>
                <wp:lineTo x="21596" y="21393"/>
                <wp:lineTo x="21596" y="0"/>
                <wp:lineTo x="-134" y="0"/>
              </wp:wrapPolygon>
            </wp:wrapTight>
            <wp:docPr id="16" name="Imagen 16" descr="Los 7 sacramentos | Blog de los Recursos de JESUS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s 7 sacramentos | Blog de los Recursos de JESUS MAR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83" t="50419" b="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4005580</wp:posOffset>
            </wp:positionV>
            <wp:extent cx="2707005" cy="692150"/>
            <wp:effectExtent l="19050" t="0" r="0" b="0"/>
            <wp:wrapTight wrapText="bothSides">
              <wp:wrapPolygon edited="0">
                <wp:start x="-152" y="0"/>
                <wp:lineTo x="-152" y="20807"/>
                <wp:lineTo x="21585" y="20807"/>
                <wp:lineTo x="21585" y="0"/>
                <wp:lineTo x="-152" y="0"/>
              </wp:wrapPolygon>
            </wp:wrapTight>
            <wp:docPr id="12" name="Imagen 7" descr="Crucigramas para aprender los Sacramentos | Catequesis, Te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cigramas para aprender los Sacramentos | Catequesis, Tema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729" t="79614" r="11995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2487295</wp:posOffset>
            </wp:positionV>
            <wp:extent cx="3067685" cy="991870"/>
            <wp:effectExtent l="19050" t="0" r="0" b="0"/>
            <wp:wrapTight wrapText="bothSides">
              <wp:wrapPolygon edited="0">
                <wp:start x="-134" y="0"/>
                <wp:lineTo x="-134" y="21157"/>
                <wp:lineTo x="21596" y="21157"/>
                <wp:lineTo x="21596" y="0"/>
                <wp:lineTo x="-134" y="0"/>
              </wp:wrapPolygon>
            </wp:wrapTight>
            <wp:docPr id="5" name="Imagen 13" descr="Los 7 sacramentos | Blog de los Recursos de JESUS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s 7 sacramentos | Blog de los Recursos de JESUS MAR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65" t="1508" b="5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974090</wp:posOffset>
            </wp:positionV>
            <wp:extent cx="3183890" cy="3025775"/>
            <wp:effectExtent l="19050" t="0" r="0" b="0"/>
            <wp:wrapTight wrapText="bothSides">
              <wp:wrapPolygon edited="0">
                <wp:start x="-129" y="0"/>
                <wp:lineTo x="-129" y="21487"/>
                <wp:lineTo x="21583" y="21487"/>
                <wp:lineTo x="21583" y="0"/>
                <wp:lineTo x="-129" y="0"/>
              </wp:wrapPolygon>
            </wp:wrapTight>
            <wp:docPr id="9" name="Imagen 7" descr="Crucigramas para aprender los Sacramentos | Catequesis, Te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cigramas para aprender los Sacramentos | Catequesis, Tema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56" t="9042" r="24429" b="2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CCF" w:rsidRPr="00552CCF">
        <w:rPr>
          <w:b/>
          <w:sz w:val="24"/>
          <w:szCs w:val="24"/>
        </w:rPr>
        <w:t>Completa el siguiente crucigrama anotando los nombres de los sacramentos que se indican en cada casillero.</w:t>
      </w:r>
      <w:r>
        <w:rPr>
          <w:b/>
          <w:sz w:val="24"/>
          <w:szCs w:val="24"/>
        </w:rPr>
        <w:t xml:space="preserve"> Busca algún material que te ayude a responder y apóyate en las imágenes.</w:t>
      </w:r>
    </w:p>
    <w:p w:rsidR="00552CCF" w:rsidRDefault="00552CCF" w:rsidP="00552CCF">
      <w:pPr>
        <w:ind w:left="360"/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rPr>
          <w:rFonts w:cstheme="minorHAnsi"/>
          <w:sz w:val="24"/>
          <w:szCs w:val="24"/>
        </w:rPr>
      </w:pPr>
    </w:p>
    <w:p w:rsidR="00552CCF" w:rsidRPr="00552CCF" w:rsidRDefault="00552CCF" w:rsidP="00552CCF">
      <w:pPr>
        <w:tabs>
          <w:tab w:val="left" w:pos="6922"/>
        </w:tabs>
        <w:rPr>
          <w:rFonts w:cstheme="minorHAnsi"/>
          <w:sz w:val="24"/>
          <w:szCs w:val="24"/>
        </w:rPr>
      </w:pPr>
    </w:p>
    <w:sectPr w:rsidR="00552CCF" w:rsidRPr="00552CCF" w:rsidSect="00FD675E">
      <w:headerReference w:type="default" r:id="rId10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95" w:rsidRDefault="00155F95" w:rsidP="00130DEC">
      <w:pPr>
        <w:spacing w:after="0" w:line="240" w:lineRule="auto"/>
      </w:pPr>
      <w:r>
        <w:separator/>
      </w:r>
    </w:p>
  </w:endnote>
  <w:endnote w:type="continuationSeparator" w:id="0">
    <w:p w:rsidR="00155F95" w:rsidRDefault="00155F95" w:rsidP="0013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95" w:rsidRDefault="00155F95" w:rsidP="00130DEC">
      <w:pPr>
        <w:spacing w:after="0" w:line="240" w:lineRule="auto"/>
      </w:pPr>
      <w:r>
        <w:separator/>
      </w:r>
    </w:p>
  </w:footnote>
  <w:footnote w:type="continuationSeparator" w:id="0">
    <w:p w:rsidR="00155F95" w:rsidRDefault="00155F95" w:rsidP="0013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95" w:type="dxa"/>
      <w:tblInd w:w="-1259" w:type="dxa"/>
      <w:tblLayout w:type="fixed"/>
      <w:tblLook w:val="04A0" w:firstRow="1" w:lastRow="0" w:firstColumn="1" w:lastColumn="0" w:noHBand="0" w:noVBand="1"/>
    </w:tblPr>
    <w:tblGrid>
      <w:gridCol w:w="992"/>
      <w:gridCol w:w="10403"/>
    </w:tblGrid>
    <w:tr w:rsidR="00130DEC" w:rsidRPr="000D5FB9" w:rsidTr="00E73DCE">
      <w:trPr>
        <w:trHeight w:val="1128"/>
      </w:trPr>
      <w:tc>
        <w:tcPr>
          <w:tcW w:w="992" w:type="dxa"/>
          <w:tcBorders>
            <w:right w:val="single" w:sz="4" w:space="0" w:color="auto"/>
          </w:tcBorders>
        </w:tcPr>
        <w:p w:rsidR="00130DEC" w:rsidRDefault="00130DEC" w:rsidP="00E73DCE">
          <w:pPr>
            <w:pStyle w:val="Encabezado"/>
            <w:tabs>
              <w:tab w:val="left" w:pos="1215"/>
            </w:tabs>
            <w:rPr>
              <w:lang w:val="es-MX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-520700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8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  <w:p w:rsidR="00130DEC" w:rsidRDefault="00130DEC" w:rsidP="00E73DCE">
          <w:pPr>
            <w:pStyle w:val="Encabezado"/>
            <w:tabs>
              <w:tab w:val="left" w:pos="1215"/>
            </w:tabs>
            <w:jc w:val="center"/>
            <w:rPr>
              <w:lang w:val="es-MX"/>
            </w:rPr>
          </w:pPr>
        </w:p>
      </w:tc>
      <w:tc>
        <w:tcPr>
          <w:tcW w:w="10403" w:type="dxa"/>
          <w:tcBorders>
            <w:left w:val="single" w:sz="4" w:space="0" w:color="auto"/>
          </w:tcBorders>
        </w:tcPr>
        <w:p w:rsidR="00130DEC" w:rsidRPr="0087727E" w:rsidRDefault="00130DEC" w:rsidP="00E73DC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130DEC" w:rsidRPr="0087727E" w:rsidRDefault="00130DEC" w:rsidP="00E73DCE">
          <w:pPr>
            <w:rPr>
              <w:sz w:val="24"/>
              <w:szCs w:val="24"/>
              <w:lang w:val="es-MX"/>
            </w:rPr>
          </w:pPr>
        </w:p>
        <w:p w:rsidR="00130DEC" w:rsidRDefault="00130DEC" w:rsidP="00E73DCE">
          <w:pPr>
            <w:rPr>
              <w:sz w:val="24"/>
              <w:szCs w:val="24"/>
              <w:lang w:val="es-MX"/>
            </w:rPr>
          </w:pPr>
          <w:proofErr w:type="gramStart"/>
          <w:r w:rsidRPr="0087727E">
            <w:rPr>
              <w:sz w:val="24"/>
              <w:szCs w:val="24"/>
              <w:lang w:val="es-MX"/>
            </w:rPr>
            <w:t>Módulo  de</w:t>
          </w:r>
          <w:proofErr w:type="gramEnd"/>
          <w:r w:rsidRPr="0087727E">
            <w:rPr>
              <w:sz w:val="24"/>
              <w:szCs w:val="24"/>
              <w:lang w:val="es-MX"/>
            </w:rPr>
            <w:t xml:space="preserve"> </w:t>
          </w:r>
          <w:r>
            <w:rPr>
              <w:sz w:val="24"/>
              <w:szCs w:val="24"/>
              <w:lang w:val="es-MX"/>
            </w:rPr>
            <w:t>Religión        Nivel: 2° A</w:t>
          </w:r>
          <w:r w:rsidRPr="0087727E">
            <w:rPr>
              <w:sz w:val="24"/>
              <w:szCs w:val="24"/>
              <w:lang w:val="es-MX"/>
            </w:rPr>
            <w:t xml:space="preserve">ño </w:t>
          </w:r>
          <w:r>
            <w:rPr>
              <w:sz w:val="24"/>
              <w:szCs w:val="24"/>
              <w:lang w:val="es-MX"/>
            </w:rPr>
            <w:t>Medi</w:t>
          </w:r>
          <w:r w:rsidRPr="0087727E">
            <w:rPr>
              <w:sz w:val="24"/>
              <w:szCs w:val="24"/>
              <w:lang w:val="es-MX"/>
            </w:rPr>
            <w:t>o.</w:t>
          </w:r>
          <w:r w:rsidR="0033427F">
            <w:rPr>
              <w:sz w:val="24"/>
              <w:szCs w:val="24"/>
              <w:lang w:val="es-MX"/>
            </w:rPr>
            <w:t xml:space="preserve">    Clase: 4ª. semana   </w:t>
          </w:r>
        </w:p>
        <w:p w:rsidR="0033427F" w:rsidRPr="000D5FB9" w:rsidRDefault="0033427F" w:rsidP="0033427F">
          <w:pPr>
            <w:rPr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>Objetivo: Apreciar el valor experiencial de la Pascua y el amor que Dios nos regala en sus sacramentos.</w:t>
          </w:r>
        </w:p>
      </w:tc>
    </w:tr>
  </w:tbl>
  <w:p w:rsidR="00130DEC" w:rsidRDefault="00130D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24D3"/>
    <w:multiLevelType w:val="hybridMultilevel"/>
    <w:tmpl w:val="8976F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C"/>
    <w:rsid w:val="00130DEC"/>
    <w:rsid w:val="00155F95"/>
    <w:rsid w:val="0033427F"/>
    <w:rsid w:val="004343A5"/>
    <w:rsid w:val="004A7207"/>
    <w:rsid w:val="00552CCF"/>
    <w:rsid w:val="006315F0"/>
    <w:rsid w:val="007B52F7"/>
    <w:rsid w:val="008C44FF"/>
    <w:rsid w:val="00961302"/>
    <w:rsid w:val="0099677F"/>
    <w:rsid w:val="009D7786"/>
    <w:rsid w:val="00C41778"/>
    <w:rsid w:val="00C651FA"/>
    <w:rsid w:val="00DE0EB5"/>
    <w:rsid w:val="00F666B8"/>
    <w:rsid w:val="00FD675E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673F-EF2E-4F50-A9F1-824D507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DEC"/>
  </w:style>
  <w:style w:type="paragraph" w:styleId="Piedepgina">
    <w:name w:val="footer"/>
    <w:basedOn w:val="Normal"/>
    <w:link w:val="PiedepginaCar"/>
    <w:uiPriority w:val="99"/>
    <w:semiHidden/>
    <w:unhideWhenUsed/>
    <w:rsid w:val="0013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DEC"/>
  </w:style>
  <w:style w:type="table" w:styleId="Tablaconcuadrcula">
    <w:name w:val="Table Grid"/>
    <w:basedOn w:val="Tablanormal"/>
    <w:uiPriority w:val="59"/>
    <w:rsid w:val="00130DE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DE0EB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E0E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0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2020-04-06T15:26:00Z</dcterms:created>
  <dcterms:modified xsi:type="dcterms:W3CDTF">2020-04-06T15:26:00Z</dcterms:modified>
</cp:coreProperties>
</file>